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438A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438A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438A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438A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438A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438A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438A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438A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438A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438A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438A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438A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438A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438A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438A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438A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438A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438A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438A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438A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438A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438A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438A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438A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438A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438A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438A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438A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438A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438A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438A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438A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438A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438A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438A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438A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438A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438A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438A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438A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438A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438A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438A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438A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438A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438A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422D83A" w:rsidR="00093CA9" w:rsidRDefault="009C1267" w:rsidP="00093CA9">
            <w:r w:rsidRPr="009C1267">
              <w:t>PRA 'Dear CEO' Letter: Insurance Supervision: 2025 Priorities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7997312" w14:textId="0A9A5313" w:rsidR="00093CA9" w:rsidRDefault="00D16FDB" w:rsidP="00093CA9">
            <w:hyperlink r:id="rId19" w:history="1">
              <w:r w:rsidR="00B63A63" w:rsidRPr="00D16FDB">
                <w:rPr>
                  <w:rStyle w:val="Hyperlink"/>
                </w:rPr>
                <w:t>https://web.archive.org/web/20250703001416/https://www.bankofengland.co.uk/-/media/boe/files/prudential-regulation/letter/2025/insurance-supervision-2025-priorities.pdf</w:t>
              </w:r>
              <w:r w:rsidR="00D52ECF" w:rsidRPr="00D16FDB">
                <w:rPr>
                  <w:rStyle w:val="Hyperlink"/>
                </w:rPr>
                <w:t xml:space="preserve"> </w:t>
              </w:r>
            </w:hyperlink>
          </w:p>
          <w:p w14:paraId="1523C232" w14:textId="3C3DE64B" w:rsidR="009970FE" w:rsidRDefault="00D16FDB" w:rsidP="00093CA9">
            <w:hyperlink r:id="rId20" w:history="1">
              <w:r w:rsidR="009970FE" w:rsidRPr="00D16FDB">
                <w:rPr>
                  <w:rStyle w:val="Hyperlink"/>
                </w:rPr>
                <w:t>https://web.archive.org/web/20250703142641/https://www.bankofengland.co.uk/-/media/boe/files/prudential-regulation/supervisory-statement/2024/ss319-november-2024-update.pdf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7DD11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BCA6D05" w:rsidR="00093CA9" w:rsidRDefault="0095052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241CFEE" w:rsidR="00093CA9" w:rsidRDefault="005E43A8" w:rsidP="00093CA9">
            <w:r>
              <w:t>Th</w:t>
            </w:r>
            <w:r w:rsidR="0011087C">
              <w:t xml:space="preserve">e Dear CEO </w:t>
            </w:r>
            <w:r w:rsidR="009F187D">
              <w:t>L</w:t>
            </w:r>
            <w:r w:rsidR="0011087C">
              <w:t xml:space="preserve">etter outlines the </w:t>
            </w:r>
            <w:r w:rsidR="00B63A63">
              <w:t xml:space="preserve">UK </w:t>
            </w:r>
            <w:r w:rsidR="0011087C">
              <w:t>Prudential Regulation Authority’s</w:t>
            </w:r>
            <w:r w:rsidR="00D16FDB">
              <w:t xml:space="preserve"> (“</w:t>
            </w:r>
            <w:r w:rsidR="00D16FDB" w:rsidRPr="00D16FDB">
              <w:rPr>
                <w:b/>
                <w:bCs/>
              </w:rPr>
              <w:t>PRA</w:t>
            </w:r>
            <w:r w:rsidR="00D16FDB">
              <w:t>”)</w:t>
            </w:r>
            <w:r w:rsidR="0011087C">
              <w:t xml:space="preserve"> priorities</w:t>
            </w:r>
            <w:r w:rsidR="00B63A63">
              <w:t xml:space="preserve"> </w:t>
            </w:r>
            <w:r w:rsidR="00B63A63" w:rsidRPr="00B63A63">
              <w:t>for all regulated insurance firms</w:t>
            </w:r>
            <w:r w:rsidR="0011087C">
              <w:t xml:space="preserve"> for the </w:t>
            </w:r>
            <w:r w:rsidR="00D438A0">
              <w:t xml:space="preserve">upcoming </w:t>
            </w:r>
            <w:r w:rsidR="0011087C">
              <w:t>year.</w:t>
            </w:r>
            <w:r w:rsidR="009F187D">
              <w:t xml:space="preserve"> It does not itself contain any concrete recommendations for policy, but instead references the PRA’s previous work and the upcoming projects that will be its focus. </w:t>
            </w:r>
            <w:r w:rsidR="00590357" w:rsidRPr="00590357">
              <w:t xml:space="preserve">The </w:t>
            </w:r>
            <w:r w:rsidR="009F187D">
              <w:t xml:space="preserve">Dear CEO Letter notes that </w:t>
            </w:r>
            <w:r w:rsidR="00590357" w:rsidRPr="00590357">
              <w:t xml:space="preserve">insurers </w:t>
            </w:r>
            <w:r w:rsidR="009F187D">
              <w:t>should continue to</w:t>
            </w:r>
            <w:r w:rsidR="00590357" w:rsidRPr="00590357">
              <w:t xml:space="preserve"> embed climate risk into their governance, risk management, and scenario analysis frameworks, building on prior progress.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CDC9556" w:rsidR="00093CA9" w:rsidRDefault="000E21B5"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C435A82" w:rsidR="00093CA9" w:rsidRDefault="000E21B5" w:rsidP="00093CA9">
            <w:r>
              <w:t xml:space="preserve">Since the tool is a policy priority overview, it is not an enforceable law that is or isn’t approved/in force.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CFBE602" w:rsidR="00093CA9" w:rsidRPr="00173D7C" w:rsidRDefault="000E21B5"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DB5F317" w:rsidR="00093CA9" w:rsidRPr="00173D7C" w:rsidRDefault="007A4862"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90B1CCF"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3466634" w:rsidR="00093CA9" w:rsidRDefault="000E21B5" w:rsidP="00093CA9">
            <w:r>
              <w:t>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F11D847" w:rsidR="00093CA9" w:rsidRPr="006B7B0D" w:rsidRDefault="000B1E68" w:rsidP="00093CA9">
            <w:r>
              <w:t>Prudential Regulation Authority</w:t>
            </w:r>
            <w:r w:rsidR="000E21B5">
              <w:t xml:space="preserve"> (as part of the Bank of England)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7F8B0D0" w:rsidR="00093CA9" w:rsidRPr="006B7B0D" w:rsidRDefault="000B1E6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3A5D2CE8"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E5A41DB"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403D5F1" w:rsidR="00093CA9" w:rsidRDefault="0038062A" w:rsidP="00093CA9">
            <w:r w:rsidRPr="0038062A">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4375AA9"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7842CB3" w:rsidR="00093CA9" w:rsidRPr="008017F9" w:rsidRDefault="00093CA9" w:rsidP="00590357">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CD4702C" w:rsidR="00CF5268" w:rsidRDefault="00CF5268" w:rsidP="00DD3144"/>
        </w:tc>
      </w:tr>
      <w:tr w:rsidR="00CF5268" w14:paraId="6705E7AB" w14:textId="77777777" w:rsidTr="006F1191">
        <w:trPr>
          <w:trHeight w:val="707"/>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CE04855"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343EAED" w:rsidR="00CF5268" w:rsidRDefault="00CF5268" w:rsidP="00DD3144"/>
        </w:tc>
        <w:tc>
          <w:tcPr>
            <w:tcW w:w="1447" w:type="dxa"/>
            <w:vAlign w:val="center"/>
          </w:tcPr>
          <w:p w14:paraId="568957B7" w14:textId="1F985E4A"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3660EB5"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D4EF6B7"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95BB6D5"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E81AFAB"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03D05FD"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01BB710"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24AE043"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D8A697E"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1FDEA0F"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8D07088"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508E86A"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EA536B6"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1C8EF5F" w:rsidR="004B2D74" w:rsidRDefault="004B2D74" w:rsidP="00DD3144"/>
        </w:tc>
        <w:tc>
          <w:tcPr>
            <w:tcW w:w="1447" w:type="dxa"/>
            <w:vAlign w:val="center"/>
          </w:tcPr>
          <w:p w14:paraId="39B51900" w14:textId="5493D735"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6B3F6A7"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10A3BD0" w:rsidR="004B2D74" w:rsidRDefault="004B2D74" w:rsidP="00DD3144"/>
        </w:tc>
        <w:tc>
          <w:tcPr>
            <w:tcW w:w="1447" w:type="dxa"/>
            <w:vAlign w:val="center"/>
          </w:tcPr>
          <w:p w14:paraId="5C009F2B" w14:textId="00A5578F"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21CB6E1"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2A0C858"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D3280BA"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45815895"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E302406"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7E2B020"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7E8BB36F"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06F942C"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39436B8"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8042FC6"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63A98D3A"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7A9BE327"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9663D63"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24DE04B" w:rsidR="00B536E6" w:rsidRDefault="00B536E6" w:rsidP="00DD3144"/>
        </w:tc>
        <w:tc>
          <w:tcPr>
            <w:tcW w:w="1447" w:type="dxa"/>
            <w:vAlign w:val="center"/>
          </w:tcPr>
          <w:p w14:paraId="111A676F" w14:textId="30A29B94"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93739D4"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06B27BA5"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83E2590"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333B6C4"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1F7528D"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8269A6E"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4BFF3213"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830D1A5"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3E76DD3"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006D0B0D"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24DAB91"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A1DC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354C6" w:rsidRDefault="00107CE2" w:rsidP="00DD3144">
            <w:pPr>
              <w:rPr>
                <w:lang w:val="fr-FR"/>
              </w:rPr>
            </w:pPr>
            <w:r w:rsidRPr="004354C6">
              <w:rPr>
                <w:lang w:val="fr-FR"/>
              </w:rPr>
              <w:t>Minimum revenue (Enter minimum revenue)</w:t>
            </w:r>
          </w:p>
        </w:tc>
        <w:tc>
          <w:tcPr>
            <w:tcW w:w="4910" w:type="dxa"/>
            <w:gridSpan w:val="7"/>
            <w:shd w:val="clear" w:color="auto" w:fill="auto"/>
            <w:vAlign w:val="center"/>
          </w:tcPr>
          <w:p w14:paraId="2518BD70" w14:textId="77777777" w:rsidR="00524D54" w:rsidRPr="004354C6"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FFD244A"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8BBBC36"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5301D3D"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61DE7AC9"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B754A7F"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F1951C1"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9621FB1"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466CD8D"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F6031C0"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60CCB0C"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D754B9E"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6C009FAD"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EDA9E3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B91C94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16EAE8C9"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1F68190"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6A1DC8"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354C6" w:rsidRDefault="00B0479E" w:rsidP="00DD3144">
            <w:pPr>
              <w:rPr>
                <w:lang w:val="fr-FR"/>
              </w:rPr>
            </w:pPr>
            <w:r w:rsidRPr="004354C6">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4354C6"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8615118"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3C3C0640"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6870BDFD"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8357C8F"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46F8582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059F68E"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6547622" w:rsidR="00E72014" w:rsidRPr="00DD3144" w:rsidRDefault="00E72014" w:rsidP="00E7201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144DA4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977C803"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3410797"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0CCEB65"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06F5CBC"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B454003"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AB570E8"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DB94881"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81F36A2"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07FC06B"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0057AFF"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D4C7655"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96471B9"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77787E9" w14:textId="52277DB7" w:rsidR="00590357" w:rsidRDefault="00590357" w:rsidP="00DD3144">
            <w:pPr>
              <w:rPr>
                <w:rStyle w:val="Hyperlink"/>
                <w:rFonts w:ascii="Calibri" w:hAnsi="Calibri" w:cs="Calibri"/>
              </w:rPr>
            </w:pPr>
          </w:p>
          <w:p w14:paraId="799C1AA4" w14:textId="500EBB28" w:rsidR="00590357" w:rsidRPr="00DD3144" w:rsidRDefault="00590357" w:rsidP="00590357">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A1DC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354C6" w:rsidRDefault="004F276F" w:rsidP="00C37D48">
            <w:pPr>
              <w:rPr>
                <w:rFonts w:ascii="Calibri" w:hAnsi="Calibri" w:cs="Calibri"/>
                <w:lang w:val="fr-FR"/>
              </w:rPr>
            </w:pPr>
            <w:r w:rsidRPr="004354C6">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354C6"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6A1DC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354C6" w:rsidRDefault="003A2E5E" w:rsidP="00C37D48">
            <w:pPr>
              <w:rPr>
                <w:rFonts w:ascii="Calibri" w:hAnsi="Calibri" w:cs="Calibri"/>
                <w:lang w:val="fr-FR"/>
              </w:rPr>
            </w:pPr>
            <w:r w:rsidRPr="004354C6">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4354C6"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A1DC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354C6" w:rsidRDefault="00C66EE0" w:rsidP="00610F28">
            <w:pPr>
              <w:rPr>
                <w:rFonts w:ascii="Calibri" w:hAnsi="Calibri" w:cs="Calibri"/>
                <w:lang w:val="fr-FR"/>
              </w:rPr>
            </w:pPr>
            <w:r w:rsidRPr="004354C6">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354C6"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A1DC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4354C6" w:rsidRDefault="00092534" w:rsidP="00CF2E7C">
            <w:pPr>
              <w:rPr>
                <w:rFonts w:ascii="Calibri" w:hAnsi="Calibri" w:cs="Calibri"/>
                <w:lang w:val="fr-FR"/>
              </w:rPr>
            </w:pPr>
            <w:r w:rsidRPr="004354C6">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354C6"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B785C5C" w:rsidR="00D4323A" w:rsidRPr="00CF2E7C" w:rsidRDefault="00BF518A"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37C0345" w:rsidR="00D4323A" w:rsidRPr="00CF2E7C" w:rsidRDefault="00BF518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9663B3" w:rsidR="00D4323A" w:rsidRPr="00CF2E7C" w:rsidRDefault="00BF518A" w:rsidP="00CF2E7C">
            <w:pPr>
              <w:rPr>
                <w:rFonts w:ascii="Calibri" w:hAnsi="Calibri" w:cs="Calibri"/>
              </w:rPr>
            </w:pPr>
            <w:r>
              <w:rPr>
                <w:rFonts w:ascii="Calibri" w:hAnsi="Calibri" w:cs="Calibri"/>
              </w:rPr>
              <w:t>X</w:t>
            </w:r>
          </w:p>
        </w:tc>
        <w:tc>
          <w:tcPr>
            <w:tcW w:w="1455" w:type="dxa"/>
            <w:gridSpan w:val="2"/>
            <w:vAlign w:val="center"/>
          </w:tcPr>
          <w:p w14:paraId="768ED678" w14:textId="602EDA0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C127F49" w:rsidR="00D4323A" w:rsidRPr="00CF2E7C" w:rsidRDefault="00BF518A"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CA9D202" w:rsidR="00D4323A" w:rsidRPr="00CF2E7C" w:rsidRDefault="00BF518A"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9EA834B" w:rsidR="00D4323A" w:rsidRPr="00CF2E7C" w:rsidRDefault="00BF518A"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4BBDC04" w:rsidR="00D4323A" w:rsidRPr="00CF2E7C" w:rsidRDefault="00BF518A"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5F46464" w:rsidR="00D4323A" w:rsidRPr="00CF2E7C" w:rsidRDefault="00BF518A"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BBC0920" w:rsidR="00D4323A" w:rsidRPr="00CF2E7C" w:rsidRDefault="00BF518A"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7B6DE53" w:rsidR="00D4323A" w:rsidRPr="00CF2E7C" w:rsidRDefault="00BF518A"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D7BFDDA" w:rsidR="00D4323A" w:rsidRPr="00CF2E7C" w:rsidRDefault="00BF518A"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8C67D05" w:rsidR="00D4323A" w:rsidRPr="00CF2E7C" w:rsidRDefault="00BF518A"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1B70728" w:rsidR="00D4323A" w:rsidRPr="00CF2E7C" w:rsidRDefault="00BF518A"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06F18FC" w:rsidR="00DD292A" w:rsidRPr="00CF2E7C" w:rsidRDefault="00DD292A" w:rsidP="00CF2E7C">
            <w:pPr>
              <w:rPr>
                <w:rFonts w:ascii="Calibri" w:hAnsi="Calibri" w:cs="Calibri"/>
              </w:rPr>
            </w:pPr>
          </w:p>
        </w:tc>
        <w:tc>
          <w:tcPr>
            <w:tcW w:w="1455" w:type="dxa"/>
            <w:gridSpan w:val="2"/>
            <w:vAlign w:val="center"/>
          </w:tcPr>
          <w:p w14:paraId="135AE0CB" w14:textId="411E383D" w:rsidR="00DD292A" w:rsidRPr="00CF2E7C" w:rsidRDefault="00DD292A" w:rsidP="00CF2E7C">
            <w:pPr>
              <w:rPr>
                <w:rFonts w:ascii="Calibri" w:hAnsi="Calibri" w:cs="Calibri"/>
              </w:rPr>
            </w:pPr>
          </w:p>
        </w:tc>
        <w:tc>
          <w:tcPr>
            <w:tcW w:w="1505" w:type="dxa"/>
            <w:vAlign w:val="center"/>
          </w:tcPr>
          <w:p w14:paraId="206E8F7C" w14:textId="3269A21E" w:rsidR="00DD292A" w:rsidRPr="00CF2E7C" w:rsidRDefault="00B23761"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97D1E0F" w:rsidR="00DD292A" w:rsidRPr="00CF2E7C" w:rsidRDefault="00B23761"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F2E6C0D" w:rsidR="00DD292A" w:rsidRPr="00CF2E7C" w:rsidRDefault="00BF518A" w:rsidP="00CF2E7C">
            <w:pPr>
              <w:rPr>
                <w:rFonts w:ascii="Calibri" w:hAnsi="Calibri" w:cs="Calibri"/>
              </w:rPr>
            </w:pPr>
            <w:r>
              <w:rPr>
                <w:rFonts w:ascii="Calibri" w:hAnsi="Calibri" w:cs="Calibri"/>
              </w:rPr>
              <w:t>X</w:t>
            </w:r>
          </w:p>
        </w:tc>
        <w:tc>
          <w:tcPr>
            <w:tcW w:w="1455" w:type="dxa"/>
            <w:gridSpan w:val="2"/>
            <w:vAlign w:val="center"/>
          </w:tcPr>
          <w:p w14:paraId="4FF5C987" w14:textId="3F605AF2"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4E1E7C83" w:rsidR="00DD292A" w:rsidRPr="00CF2E7C" w:rsidRDefault="00CD281B"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29B7BE5" w:rsidR="00DD292A" w:rsidRPr="00CF2E7C" w:rsidRDefault="00CD281B"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1ECAC8D" w:rsidR="00DD292A" w:rsidRPr="00CF2E7C" w:rsidRDefault="00CD281B"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A1DC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354C6" w:rsidRDefault="00DD292A" w:rsidP="00CF2E7C">
            <w:pPr>
              <w:rPr>
                <w:rFonts w:ascii="Calibri" w:hAnsi="Calibri" w:cs="Calibri"/>
                <w:lang w:val="fr-FR"/>
              </w:rPr>
            </w:pPr>
            <w:r w:rsidRPr="004354C6">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354C6"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0818F3C6" w:rsidR="00DD292A" w:rsidRPr="00CF2E7C" w:rsidRDefault="00B23761" w:rsidP="00CF2E7C">
            <w:pPr>
              <w:rPr>
                <w:rFonts w:ascii="Calibri" w:hAnsi="Calibri" w:cs="Calibri"/>
              </w:rPr>
            </w:pPr>
            <w:r>
              <w:rPr>
                <w:rFonts w:ascii="Calibri" w:hAnsi="Calibri" w:cs="Calibri"/>
              </w:rPr>
              <w:t xml:space="preserve">The PRA’s </w:t>
            </w:r>
            <w:r w:rsidR="009F187D">
              <w:rPr>
                <w:rFonts w:ascii="Calibri" w:hAnsi="Calibri" w:cs="Calibri"/>
              </w:rPr>
              <w:t xml:space="preserve">Dear CEO Letter </w:t>
            </w:r>
            <w:r>
              <w:rPr>
                <w:rFonts w:ascii="Calibri" w:hAnsi="Calibri" w:cs="Calibri"/>
              </w:rPr>
              <w:t xml:space="preserve">provides guidance to all regulated insurance undertakings under </w:t>
            </w:r>
            <w:r w:rsidR="009068CD">
              <w:rPr>
                <w:rFonts w:ascii="Calibri" w:hAnsi="Calibri" w:cs="Calibri"/>
              </w:rPr>
              <w:t xml:space="preserve">their </w:t>
            </w:r>
            <w:r>
              <w:rPr>
                <w:rFonts w:ascii="Calibri" w:hAnsi="Calibri" w:cs="Calibri"/>
              </w:rPr>
              <w:t xml:space="preserve">supervision.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0FA46516" w:rsidR="00DD292A" w:rsidRPr="00CF2E7C" w:rsidRDefault="00CD281B"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0C6A887" w:rsidR="00DD3B33" w:rsidRPr="00CF2E7C" w:rsidRDefault="00CD281B"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80EF9BA"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4E2E2B65"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5EFEB691"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003F1D58"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93B3874" w:rsidR="00DD292A" w:rsidRPr="00CF2E7C" w:rsidRDefault="00CD281B"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FF17B8E" w:rsidR="00DD292A" w:rsidRPr="00CF2E7C" w:rsidRDefault="00CD281B"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62A5B0F" w:rsidR="00410853" w:rsidRPr="00CF2E7C" w:rsidRDefault="006578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62E70F72" w:rsidR="00410853" w:rsidRPr="00CF2E7C" w:rsidRDefault="006578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3DFFBE6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E1DC004" w:rsidR="00F632FB"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65C3398" w:rsidR="00F632FB"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A341567" w:rsidR="00F632FB"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B25D954" w:rsidR="00F632FB"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60F14E0" w:rsidR="008C4722"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1F42EE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FB7652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9B1375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64A65B8E" w:rsidR="008C4722" w:rsidRPr="00CF2E7C" w:rsidRDefault="00CD2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“Financial risks from climate change”</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4E4631" w14:textId="2868ECA5" w:rsidR="004A2BC7" w:rsidRDefault="004A2BC7" w:rsidP="004A2BC7">
            <w:pPr>
              <w:textAlignment w:val="baseline"/>
              <w:rPr>
                <w:rFonts w:ascii="Calibri" w:eastAsia="Times New Roman" w:hAnsi="Calibri" w:cs="Calibri"/>
                <w:kern w:val="0"/>
                <w:lang w:eastAsia="en-GB"/>
                <w14:ligatures w14:val="none"/>
              </w:rPr>
            </w:pPr>
            <w:r w:rsidRPr="004A2BC7">
              <w:rPr>
                <w:rFonts w:ascii="Calibri" w:eastAsia="Times New Roman" w:hAnsi="Calibri" w:cs="Calibri"/>
                <w:kern w:val="0"/>
                <w:lang w:eastAsia="en-GB"/>
                <w14:ligatures w14:val="none"/>
              </w:rPr>
              <w:t xml:space="preserve">The </w:t>
            </w:r>
            <w:r w:rsidR="009F187D">
              <w:rPr>
                <w:rFonts w:ascii="Calibri" w:eastAsia="Times New Roman" w:hAnsi="Calibri" w:cs="Calibri"/>
                <w:kern w:val="0"/>
                <w:lang w:eastAsia="en-GB"/>
                <w14:ligatures w14:val="none"/>
              </w:rPr>
              <w:t>Dear CEO Letter</w:t>
            </w:r>
            <w:r w:rsidRPr="004A2BC7">
              <w:rPr>
                <w:rFonts w:ascii="Calibri" w:eastAsia="Times New Roman" w:hAnsi="Calibri" w:cs="Calibri"/>
                <w:kern w:val="0"/>
                <w:lang w:eastAsia="en-GB"/>
                <w14:ligatures w14:val="none"/>
              </w:rPr>
              <w:t xml:space="preserve"> addresses climate-related financial risks on UK insurance firms in </w:t>
            </w:r>
            <w:r>
              <w:rPr>
                <w:rFonts w:ascii="Calibri" w:eastAsia="Times New Roman" w:hAnsi="Calibri" w:cs="Calibri"/>
                <w:kern w:val="0"/>
                <w:lang w:eastAsia="en-GB"/>
                <w14:ligatures w14:val="none"/>
              </w:rPr>
              <w:t xml:space="preserve">the section titled </w:t>
            </w:r>
            <w:r w:rsidRPr="004A2BC7">
              <w:rPr>
                <w:rFonts w:ascii="Calibri" w:eastAsia="Times New Roman" w:hAnsi="Calibri" w:cs="Calibri"/>
                <w:kern w:val="0"/>
                <w:lang w:eastAsia="en-GB"/>
                <w14:ligatures w14:val="none"/>
              </w:rPr>
              <w:t xml:space="preserve">"Climate", stating that </w:t>
            </w:r>
            <w:r>
              <w:rPr>
                <w:rFonts w:ascii="Calibri" w:eastAsia="Times New Roman" w:hAnsi="Calibri" w:cs="Calibri"/>
                <w:kern w:val="0"/>
                <w:lang w:eastAsia="en-GB"/>
                <w14:ligatures w14:val="none"/>
              </w:rPr>
              <w:t>t</w:t>
            </w:r>
            <w:r w:rsidRPr="004A2BC7">
              <w:rPr>
                <w:rFonts w:ascii="Calibri" w:eastAsia="Times New Roman" w:hAnsi="Calibri" w:cs="Calibri"/>
                <w:kern w:val="0"/>
                <w:lang w:eastAsia="en-GB"/>
                <w14:ligatures w14:val="none"/>
              </w:rPr>
              <w:t xml:space="preserve">he </w:t>
            </w:r>
            <w:r w:rsidR="00E35BB1">
              <w:rPr>
                <w:rFonts w:ascii="Calibri" w:eastAsia="Times New Roman" w:hAnsi="Calibri" w:cs="Calibri"/>
                <w:kern w:val="0"/>
                <w:lang w:eastAsia="en-GB"/>
                <w14:ligatures w14:val="none"/>
              </w:rPr>
              <w:t>“</w:t>
            </w:r>
            <w:r w:rsidRPr="00E35BB1">
              <w:rPr>
                <w:rFonts w:ascii="Calibri" w:eastAsia="Times New Roman" w:hAnsi="Calibri" w:cs="Calibri"/>
                <w:i/>
                <w:iCs/>
                <w:kern w:val="0"/>
                <w:lang w:eastAsia="en-GB"/>
                <w14:ligatures w14:val="none"/>
              </w:rPr>
              <w:t>financial risks from climate change continue to be increasingly important for some insurers, particularly for many general insurers' underwriting strategies and risk management approaches</w:t>
            </w:r>
            <w:r w:rsidRPr="004A2BC7">
              <w:rPr>
                <w:rFonts w:ascii="Calibri" w:eastAsia="Times New Roman" w:hAnsi="Calibri" w:cs="Calibri"/>
                <w:kern w:val="0"/>
                <w:lang w:eastAsia="en-GB"/>
                <w14:ligatures w14:val="none"/>
              </w:rPr>
              <w:t>". The PRA identifies that insurance firms are yet to fully embed the PRA's climate expectations with further progress required, particularly on scenario analysis and risk management.</w:t>
            </w:r>
          </w:p>
          <w:p w14:paraId="529A4ADE" w14:textId="77777777" w:rsidR="004A2BC7" w:rsidRDefault="004A2BC7" w:rsidP="004A2BC7">
            <w:pPr>
              <w:textAlignment w:val="baseline"/>
              <w:rPr>
                <w:rFonts w:ascii="Calibri" w:eastAsia="Times New Roman" w:hAnsi="Calibri" w:cs="Calibri"/>
                <w:kern w:val="0"/>
                <w:lang w:eastAsia="en-GB"/>
                <w14:ligatures w14:val="none"/>
              </w:rPr>
            </w:pPr>
            <w:r w:rsidRPr="004A2BC7">
              <w:rPr>
                <w:rFonts w:ascii="Calibri" w:eastAsia="Times New Roman" w:hAnsi="Calibri" w:cs="Calibri"/>
                <w:kern w:val="0"/>
                <w:lang w:eastAsia="en-GB"/>
                <w14:ligatures w14:val="none"/>
              </w:rPr>
              <w:t>The document emphasises that physical climate risks are material for certain firms, with the PRA planning to continue to engage with those firms</w:t>
            </w:r>
            <w:r>
              <w:rPr>
                <w:rFonts w:ascii="Calibri" w:eastAsia="Times New Roman" w:hAnsi="Calibri" w:cs="Calibri"/>
                <w:kern w:val="0"/>
                <w:lang w:eastAsia="en-GB"/>
                <w14:ligatures w14:val="none"/>
              </w:rPr>
              <w:t xml:space="preserve"> and</w:t>
            </w:r>
            <w:r w:rsidRPr="004A2BC7">
              <w:rPr>
                <w:rFonts w:ascii="Calibri" w:eastAsia="Times New Roman" w:hAnsi="Calibri" w:cs="Calibri"/>
                <w:kern w:val="0"/>
                <w:lang w:eastAsia="en-GB"/>
                <w14:ligatures w14:val="none"/>
              </w:rPr>
              <w:t xml:space="preserve"> consult on an update to SS3/19.</w:t>
            </w:r>
          </w:p>
          <w:p w14:paraId="6B9066AC" w14:textId="5346B6DA" w:rsidR="006255FC" w:rsidRDefault="004A2BC7" w:rsidP="00357196">
            <w:pPr>
              <w:textAlignment w:val="baseline"/>
              <w:rPr>
                <w:rFonts w:ascii="Calibri" w:eastAsia="Times New Roman" w:hAnsi="Calibri" w:cs="Calibri"/>
                <w:kern w:val="0"/>
                <w:lang w:eastAsia="en-GB"/>
                <w14:ligatures w14:val="none"/>
              </w:rPr>
            </w:pPr>
            <w:r w:rsidRPr="004A2BC7">
              <w:rPr>
                <w:rFonts w:ascii="Calibri" w:eastAsia="Times New Roman" w:hAnsi="Calibri" w:cs="Calibri"/>
                <w:kern w:val="0"/>
                <w:lang w:eastAsia="en-GB"/>
                <w14:ligatures w14:val="none"/>
              </w:rPr>
              <w:t>Climate is listed as a cross-firm priority for 2025</w:t>
            </w:r>
            <w:r>
              <w:rPr>
                <w:rFonts w:ascii="Calibri" w:eastAsia="Times New Roman" w:hAnsi="Calibri" w:cs="Calibri"/>
                <w:kern w:val="0"/>
                <w:lang w:eastAsia="en-GB"/>
                <w14:ligatures w14:val="none"/>
              </w:rPr>
              <w:t xml:space="preserve"> in the Annex,</w:t>
            </w:r>
            <w:r w:rsidRPr="004A2BC7">
              <w:rPr>
                <w:rFonts w:ascii="Calibri" w:eastAsia="Times New Roman" w:hAnsi="Calibri" w:cs="Calibri"/>
                <w:kern w:val="0"/>
                <w:lang w:eastAsia="en-GB"/>
                <w14:ligatures w14:val="none"/>
              </w:rPr>
              <w:t xml:space="preserve"> applying to "all firms (applying proportionality in approach)"</w:t>
            </w:r>
            <w:r>
              <w:rPr>
                <w:rFonts w:ascii="Calibri" w:eastAsia="Times New Roman" w:hAnsi="Calibri" w:cs="Calibri"/>
                <w:kern w:val="0"/>
                <w:lang w:eastAsia="en-GB"/>
                <w14:ligatures w14:val="none"/>
              </w:rPr>
              <w:t>.</w:t>
            </w:r>
          </w:p>
          <w:p w14:paraId="39FC6AFA" w14:textId="39FDAE5B" w:rsidR="008C4722" w:rsidRPr="00A97DA6" w:rsidRDefault="00CD281B" w:rsidP="0065780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SS</w:t>
            </w:r>
            <w:r w:rsidR="00A97DA6">
              <w:rPr>
                <w:rFonts w:ascii="Calibri" w:eastAsia="Times New Roman" w:hAnsi="Calibri" w:cs="Calibri"/>
                <w:kern w:val="0"/>
                <w:lang w:eastAsia="en-GB"/>
                <w14:ligatures w14:val="none"/>
              </w:rPr>
              <w:t>3/</w:t>
            </w:r>
            <w:r>
              <w:rPr>
                <w:rFonts w:ascii="Calibri" w:eastAsia="Times New Roman" w:hAnsi="Calibri" w:cs="Calibri"/>
                <w:kern w:val="0"/>
                <w:lang w:eastAsia="en-GB"/>
                <w14:ligatures w14:val="none"/>
              </w:rPr>
              <w:t xml:space="preserve">19 mandates that insurers integrate climate-related risk calculations into their material disclosures, including creating the internal personnel and experiential infrastructure for such risk monitoring. The firms must also explain how they will mitigate these financial risks. </w:t>
            </w:r>
            <w:r w:rsidR="00A97DA6">
              <w:rPr>
                <w:rFonts w:ascii="Calibri" w:eastAsia="Times New Roman" w:hAnsi="Calibri" w:cs="Calibri"/>
                <w:kern w:val="0"/>
                <w:lang w:eastAsia="en-GB"/>
                <w14:ligatures w14:val="none"/>
              </w:rPr>
              <w:t>Quantified r</w:t>
            </w:r>
            <w:r>
              <w:rPr>
                <w:rFonts w:ascii="Calibri" w:eastAsia="Times New Roman" w:hAnsi="Calibri" w:cs="Calibri"/>
                <w:kern w:val="0"/>
                <w:lang w:eastAsia="en-GB"/>
                <w14:ligatures w14:val="none"/>
              </w:rPr>
              <w:t>isks include</w:t>
            </w:r>
            <w:r w:rsidR="00A97DA6">
              <w:rPr>
                <w:rFonts w:ascii="Calibri" w:eastAsia="Times New Roman" w:hAnsi="Calibri" w:cs="Calibri"/>
                <w:kern w:val="0"/>
                <w:lang w:eastAsia="en-GB"/>
                <w14:ligatures w14:val="none"/>
              </w:rPr>
              <w:t xml:space="preserve">, for example, the </w:t>
            </w:r>
            <w:r w:rsidR="00D438A0">
              <w:rPr>
                <w:rFonts w:ascii="Calibri" w:eastAsia="Times New Roman" w:hAnsi="Calibri" w:cs="Calibri"/>
                <w:kern w:val="0"/>
                <w:lang w:eastAsia="en-GB"/>
                <w14:ligatures w14:val="none"/>
              </w:rPr>
              <w:t>longer-term</w:t>
            </w:r>
            <w:r w:rsidR="00A97DA6">
              <w:rPr>
                <w:rFonts w:ascii="Calibri" w:eastAsia="Times New Roman" w:hAnsi="Calibri" w:cs="Calibri"/>
                <w:kern w:val="0"/>
                <w:lang w:eastAsia="en-GB"/>
                <w14:ligatures w14:val="none"/>
              </w:rPr>
              <w:t xml:space="preserve"> assessment of a firm’s exposure based on its current business model and how it would perform in a </w:t>
            </w:r>
            <w:r w:rsidR="00A97DA6" w:rsidRPr="00A97DA6">
              <w:rPr>
                <w:rFonts w:ascii="Calibri" w:eastAsia="Times New Roman" w:hAnsi="Calibri" w:cs="Calibri"/>
                <w:smallCaps/>
                <w:kern w:val="0"/>
                <w:lang w:eastAsia="en-GB"/>
                <w14:ligatures w14:val="none"/>
              </w:rPr>
              <w:t>2˚C</w:t>
            </w:r>
            <w:r w:rsidR="00A97DA6">
              <w:rPr>
                <w:rFonts w:ascii="Calibri" w:eastAsia="Times New Roman" w:hAnsi="Calibri" w:cs="Calibri"/>
                <w:smallCaps/>
                <w:kern w:val="0"/>
                <w:lang w:eastAsia="en-GB"/>
                <w14:ligatures w14:val="none"/>
              </w:rPr>
              <w:t xml:space="preserve"> </w:t>
            </w:r>
            <w:r w:rsidR="00A97DA6">
              <w:rPr>
                <w:rFonts w:ascii="Calibri" w:eastAsia="Times New Roman" w:hAnsi="Calibri" w:cs="Calibri"/>
                <w:kern w:val="0"/>
                <w:lang w:eastAsia="en-GB"/>
                <w14:ligatures w14:val="none"/>
              </w:rPr>
              <w:t>global temperature increase, or not.</w:t>
            </w:r>
            <w:r w:rsidR="00657809">
              <w:rPr>
                <w:rFonts w:ascii="Calibri" w:eastAsia="Times New Roman" w:hAnsi="Calibri" w:cs="Calibri"/>
                <w:kern w:val="0"/>
                <w:lang w:eastAsia="en-GB"/>
                <w14:ligatures w14:val="none"/>
              </w:rPr>
              <w:t xml:space="preserve"> SS3/19 is the subject of a separate questionnaire and so the responses in that questionnaire should be referred to</w:t>
            </w:r>
            <w:r w:rsidR="009F187D">
              <w:rPr>
                <w:rFonts w:ascii="Calibri" w:eastAsia="Times New Roman" w:hAnsi="Calibri" w:cs="Calibri"/>
                <w:kern w:val="0"/>
                <w:lang w:eastAsia="en-GB"/>
                <w14:ligatures w14:val="none"/>
              </w:rPr>
              <w:t xml:space="preserve"> for further detail</w:t>
            </w:r>
            <w:r w:rsidR="00657809">
              <w:rPr>
                <w:rFonts w:ascii="Calibri" w:eastAsia="Times New Roman" w:hAnsi="Calibri" w:cs="Calibri"/>
                <w:kern w:val="0"/>
                <w:lang w:eastAsia="en-GB"/>
                <w14:ligatures w14:val="none"/>
              </w:rP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6A4EF59" w:rsidR="008C4722" w:rsidRPr="00CF2E7C" w:rsidRDefault="00A97D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0F361CD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88CEAE9" w:rsidR="007B7DEE" w:rsidRPr="00CF2E7C" w:rsidRDefault="00A97D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C72BF95"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2A46A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2FADFAD" w14:textId="33F9C840" w:rsidR="00ED7E12" w:rsidRPr="00CF2E7C" w:rsidRDefault="002A46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6E8DD29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416BEBC" w:rsidR="00AC2E5C" w:rsidRPr="00CF2E7C" w:rsidRDefault="00AC2E5C" w:rsidP="00D438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the </w:t>
            </w:r>
            <w:r w:rsidR="00664D6C">
              <w:rPr>
                <w:rFonts w:ascii="Calibri" w:eastAsia="Times New Roman" w:hAnsi="Calibri" w:cs="Calibri"/>
                <w:kern w:val="0"/>
                <w:lang w:eastAsia="en-GB"/>
                <w14:ligatures w14:val="none"/>
              </w:rPr>
              <w:t xml:space="preserve">Climate section of the Dear CEO </w:t>
            </w:r>
            <w:r w:rsidR="00AF6128">
              <w:rPr>
                <w:rFonts w:ascii="Calibri" w:eastAsia="Times New Roman" w:hAnsi="Calibri" w:cs="Calibri"/>
                <w:kern w:val="0"/>
                <w:lang w:eastAsia="en-GB"/>
                <w14:ligatures w14:val="none"/>
              </w:rPr>
              <w:t>L</w:t>
            </w:r>
            <w:r w:rsidR="00664D6C">
              <w:rPr>
                <w:rFonts w:ascii="Calibri" w:eastAsia="Times New Roman" w:hAnsi="Calibri" w:cs="Calibri"/>
                <w:kern w:val="0"/>
                <w:lang w:eastAsia="en-GB"/>
                <w14:ligatures w14:val="none"/>
              </w:rPr>
              <w:t>etter, the PRA references the thematic work it has carried out</w:t>
            </w:r>
            <w:r w:rsidR="00657809">
              <w:rPr>
                <w:rFonts w:ascii="Calibri" w:eastAsia="Times New Roman" w:hAnsi="Calibri" w:cs="Calibri"/>
                <w:kern w:val="0"/>
                <w:lang w:eastAsia="en-GB"/>
                <w14:ligatures w14:val="none"/>
              </w:rPr>
              <w:t xml:space="preserve"> with regard to climate and the insurance sector. The Dear CEO Letter itself is intended to serve as a guide for </w:t>
            </w:r>
            <w:r w:rsidR="00D00BF0">
              <w:rPr>
                <w:rFonts w:ascii="Calibri" w:eastAsia="Times New Roman" w:hAnsi="Calibri" w:cs="Calibri"/>
                <w:kern w:val="0"/>
                <w:lang w:eastAsia="en-GB"/>
                <w14:ligatures w14:val="none"/>
              </w:rPr>
              <w:t xml:space="preserve">insurance companies as to the PRA’s upcoming work and focus. The Climate section references in particular the PRA’s intention to focus on insurer’s risks from physical climate risks. </w:t>
            </w:r>
            <w:r w:rsidR="00664D6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90441F5"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3631BDD" w:rsidR="00702413" w:rsidRPr="00CF2E7C" w:rsidRDefault="00D00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2EC54EE" w:rsidR="00702413" w:rsidRPr="00CF2E7C" w:rsidRDefault="002A46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0C30A82F"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346AB028" w:rsidR="00702413" w:rsidRPr="00CF2E7C" w:rsidRDefault="00D00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A79BD9F" w14:textId="77777777" w:rsidTr="002A46A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123E9157" w14:textId="495850D5"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6C94C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BEA950C" w:rsidR="00702413" w:rsidRPr="00CF2E7C" w:rsidRDefault="00D00BF0" w:rsidP="00CF2E7C">
            <w:pPr>
              <w:textAlignment w:val="baseline"/>
              <w:rPr>
                <w:rFonts w:ascii="Calibri" w:eastAsia="Times New Roman" w:hAnsi="Calibri" w:cs="Calibri"/>
                <w:kern w:val="0"/>
                <w:lang w:eastAsia="en-GB"/>
                <w14:ligatures w14:val="none"/>
              </w:rPr>
            </w:pPr>
            <w:r w:rsidRPr="00D00BF0">
              <w:rPr>
                <w:rFonts w:ascii="Calibri" w:eastAsia="Times New Roman" w:hAnsi="Calibri" w:cs="Calibri"/>
                <w:kern w:val="0"/>
                <w:lang w:val="en-SG" w:eastAsia="en-GB"/>
                <w14:ligatures w14:val="none"/>
              </w:rPr>
              <w:t>X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A00E040"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CA76932" w:rsidR="00702413" w:rsidRPr="00CF2E7C" w:rsidRDefault="00D00BF0" w:rsidP="00CF2E7C">
            <w:pPr>
              <w:textAlignment w:val="baseline"/>
              <w:rPr>
                <w:rFonts w:ascii="Calibri" w:eastAsia="Times New Roman" w:hAnsi="Calibri" w:cs="Calibri"/>
                <w:kern w:val="0"/>
                <w:lang w:eastAsia="en-GB"/>
                <w14:ligatures w14:val="none"/>
              </w:rPr>
            </w:pPr>
            <w:r w:rsidRPr="00D00BF0">
              <w:rPr>
                <w:rFonts w:ascii="Calibri" w:eastAsia="Times New Roman" w:hAnsi="Calibri" w:cs="Calibri"/>
                <w:kern w:val="0"/>
                <w:lang w:eastAsia="en-GB"/>
                <w14:ligatures w14:val="none"/>
              </w:rPr>
              <w:t>X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5098B4DE"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71E145A" w:rsidR="00702413" w:rsidRPr="00CF2E7C" w:rsidRDefault="00D00BF0" w:rsidP="00CF2E7C">
            <w:pPr>
              <w:textAlignment w:val="baseline"/>
              <w:rPr>
                <w:rFonts w:ascii="Calibri" w:eastAsia="Times New Roman" w:hAnsi="Calibri" w:cs="Calibri"/>
                <w:kern w:val="0"/>
                <w:lang w:eastAsia="en-GB"/>
                <w14:ligatures w14:val="none"/>
              </w:rPr>
            </w:pPr>
            <w:r w:rsidRPr="00D00BF0">
              <w:rPr>
                <w:rFonts w:ascii="Calibri" w:eastAsia="Times New Roman" w:hAnsi="Calibri" w:cs="Calibri"/>
                <w:kern w:val="0"/>
                <w:lang w:eastAsia="en-GB"/>
                <w14:ligatures w14:val="none"/>
              </w:rPr>
              <w:t>X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63513185" w:rsidR="00702413" w:rsidRPr="00CF2E7C" w:rsidRDefault="00D00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6D430944" w:rsidR="00A80131" w:rsidRPr="00CF2E7C" w:rsidRDefault="00D00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Dear CEO Letter mentions the importance of taking climate-related risks into account for general insurers, it does not itself set out any particular requirement or recommendation.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92060A5"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DF1B2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7122C14" w14:textId="7F992779" w:rsidR="00C82860" w:rsidRPr="00CF2E7C" w:rsidRDefault="00C82860" w:rsidP="00CF2E7C">
            <w:pPr>
              <w:textAlignment w:val="baseline"/>
              <w:rPr>
                <w:rFonts w:ascii="Calibri" w:eastAsia="Times New Roman" w:hAnsi="Calibri" w:cs="Calibri"/>
                <w:kern w:val="0"/>
                <w:lang w:eastAsia="en-GB"/>
                <w14:ligatures w14:val="none"/>
              </w:rPr>
            </w:pPr>
          </w:p>
        </w:tc>
      </w:tr>
      <w:tr w:rsidR="00DF1B27"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22B29C3C" w:rsidR="00DF1B27" w:rsidRPr="00CF2E7C" w:rsidRDefault="00DF1B27" w:rsidP="00DF1B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F1B27"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DF1B27" w:rsidRPr="00CF2E7C" w:rsidRDefault="00DF1B27" w:rsidP="00DF1B2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DF1B27"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DF1B27" w:rsidRPr="00CF2E7C" w:rsidRDefault="00DF1B27" w:rsidP="00DF1B27">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2A287249" w:rsidR="00DF1B27" w:rsidRPr="00CF2E7C" w:rsidRDefault="00DF1B27" w:rsidP="00DF1B27">
            <w:pPr>
              <w:textAlignment w:val="baseline"/>
              <w:rPr>
                <w:rFonts w:ascii="Calibri" w:eastAsia="Times New Roman" w:hAnsi="Calibri" w:cs="Calibri"/>
                <w:kern w:val="0"/>
                <w:lang w:eastAsia="en-GB"/>
                <w14:ligatures w14:val="none"/>
              </w:rPr>
            </w:pPr>
          </w:p>
        </w:tc>
      </w:tr>
      <w:tr w:rsidR="00DF1B27"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DF1B27" w:rsidRPr="00CF2E7C" w:rsidRDefault="00DF1B27" w:rsidP="00DF1B2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F1B27"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DF1B27" w:rsidRPr="00CF2E7C" w:rsidRDefault="00DF1B27" w:rsidP="00DF1B27">
            <w:pPr>
              <w:textAlignment w:val="baseline"/>
              <w:rPr>
                <w:rFonts w:ascii="Calibri" w:eastAsia="Times New Roman" w:hAnsi="Calibri" w:cs="Calibri"/>
                <w:kern w:val="0"/>
                <w:lang w:eastAsia="en-GB"/>
                <w14:ligatures w14:val="none"/>
              </w:rPr>
            </w:pPr>
          </w:p>
        </w:tc>
      </w:tr>
      <w:tr w:rsidR="00DF1B27"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DF1B27" w:rsidRPr="00CF2E7C" w:rsidRDefault="00DF1B27" w:rsidP="00DF1B27">
            <w:pPr>
              <w:textAlignment w:val="baseline"/>
              <w:rPr>
                <w:rFonts w:ascii="Calibri" w:eastAsia="Times New Roman" w:hAnsi="Calibri" w:cs="Calibri"/>
                <w:kern w:val="0"/>
                <w:lang w:eastAsia="en-GB"/>
                <w14:ligatures w14:val="none"/>
              </w:rPr>
            </w:pPr>
          </w:p>
        </w:tc>
      </w:tr>
      <w:tr w:rsidR="00DF1B27"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7ECAB121" w:rsidR="00DF1B27" w:rsidRPr="00CF2E7C" w:rsidRDefault="00DF1B27" w:rsidP="00DF1B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F1B27"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DF1B27" w:rsidRPr="00CF2E7C" w:rsidRDefault="00DF1B27" w:rsidP="00DF1B2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F1B27"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DF1B27" w:rsidRPr="00CF2E7C" w:rsidRDefault="00DF1B27" w:rsidP="00DF1B27">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DF1B27" w:rsidRPr="00CF2E7C" w:rsidRDefault="00DF1B27" w:rsidP="00DF1B27">
            <w:pPr>
              <w:textAlignment w:val="baseline"/>
              <w:rPr>
                <w:rFonts w:ascii="Calibri" w:eastAsia="Times New Roman" w:hAnsi="Calibri" w:cs="Calibri"/>
                <w:kern w:val="0"/>
                <w:lang w:eastAsia="en-GB"/>
                <w14:ligatures w14:val="none"/>
              </w:rPr>
            </w:pPr>
          </w:p>
        </w:tc>
      </w:tr>
      <w:tr w:rsidR="00DF1B27"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DF1B27" w:rsidRPr="00CF2E7C" w:rsidRDefault="00DF1B27" w:rsidP="00DF1B2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F1B27"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F1B27" w:rsidRPr="009C4D10" w14:paraId="5B4EFD55" w14:textId="77777777" w:rsidTr="006F119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8F99E8E" w14:textId="772F3DCA" w:rsidR="00DF1B27" w:rsidRPr="00CF2E7C" w:rsidRDefault="00DF1B27" w:rsidP="00DF1B27">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3B1AD00" w:rsidR="00DF1B27" w:rsidRPr="00CF2E7C" w:rsidRDefault="00DF1B27" w:rsidP="00DF1B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F1B27" w:rsidRPr="009C4D10" w14:paraId="1B7CF6B6" w14:textId="77777777" w:rsidTr="006F119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B526773" w14:textId="6A626A89" w:rsidR="00DF1B27" w:rsidRPr="00CF2E7C" w:rsidRDefault="00DF1B27" w:rsidP="00DF1B27">
            <w:pPr>
              <w:tabs>
                <w:tab w:val="center" w:pos="843"/>
              </w:tabs>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9244149" w:rsidR="00DF1B27" w:rsidRPr="00CF2E7C" w:rsidRDefault="00DF1B27" w:rsidP="00DF1B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F1B27" w:rsidRPr="009C4D10" w14:paraId="26AD2862" w14:textId="77777777" w:rsidTr="006F119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2C6F47D" w14:textId="5C9E0939" w:rsidR="00DF1B27" w:rsidRPr="00CF2E7C" w:rsidRDefault="00DF1B27" w:rsidP="00DF1B27">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0653EDB"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DF1B27" w:rsidRPr="009C4D10" w14:paraId="66EF45D2" w14:textId="77777777" w:rsidTr="006F119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1C22886" w14:textId="35D4A86C" w:rsidR="00DF1B27" w:rsidRPr="00CF2E7C" w:rsidRDefault="00DF1B27" w:rsidP="00DF1B27">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F9BAA10"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DF1B27"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F1B27"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DF1B27" w:rsidRPr="00CF2E7C" w:rsidRDefault="00DF1B27" w:rsidP="00DF1B2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DF1B27" w:rsidRPr="00CF2E7C" w:rsidRDefault="00DF1B27" w:rsidP="00DF1B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F1B27"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DF1B27" w:rsidRPr="00CF2E7C" w:rsidRDefault="00DF1B27" w:rsidP="00DF1B27">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26DE149A" w:rsidR="00DF1B27" w:rsidRPr="00CF2E7C" w:rsidRDefault="00DF1B27" w:rsidP="00DF1B27">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6202C497" w:rsidR="00655FF7" w:rsidRPr="00CF2E7C" w:rsidRDefault="002677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F3CCD0B" w:rsidR="003032A9" w:rsidRPr="00CF2E7C" w:rsidRDefault="002677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6CB513E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79C9D717" w:rsidR="003D5104" w:rsidRPr="00CF2E7C" w:rsidRDefault="003D5104" w:rsidP="00267764">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7C51F3B2" w:rsidR="00BE1F9E" w:rsidRPr="00CF2E7C" w:rsidRDefault="002677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4312A0" w14:textId="7A63805C" w:rsidR="00DF1B27" w:rsidRPr="00CF2E7C" w:rsidRDefault="00DF1B27" w:rsidP="00DF1B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Dear CEO </w:t>
            </w:r>
            <w:r w:rsidR="00AF6128">
              <w:rPr>
                <w:rFonts w:ascii="Calibri" w:eastAsia="Times New Roman" w:hAnsi="Calibri" w:cs="Calibri"/>
                <w:kern w:val="0"/>
                <w:lang w:eastAsia="en-GB"/>
                <w14:ligatures w14:val="none"/>
              </w:rPr>
              <w:t>L</w:t>
            </w:r>
            <w:r>
              <w:rPr>
                <w:rFonts w:ascii="Calibri" w:eastAsia="Times New Roman" w:hAnsi="Calibri" w:cs="Calibri"/>
                <w:kern w:val="0"/>
                <w:lang w:eastAsia="en-GB"/>
                <w14:ligatures w14:val="none"/>
              </w:rPr>
              <w:t xml:space="preserve">etter notes that the PRA’s previous thematic research has identified weaknesses in scenario analysis. In that sense, as guidance to the regulated insurance sector, the Dear CEO Letter recommends further progress on scenario analysis, but does not contain any detailed suggestions itself. </w:t>
            </w:r>
          </w:p>
          <w:p w14:paraId="5C18CF55" w14:textId="4F4D7A86" w:rsidR="00A06FD2" w:rsidRPr="00CF2E7C" w:rsidRDefault="00A06FD2" w:rsidP="00A06FD2">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E5BD93F"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427B629B" w:rsidR="00DC31BF" w:rsidRPr="00CF2E7C" w:rsidRDefault="00AB338F" w:rsidP="00CF2E7C">
            <w:pPr>
              <w:textAlignment w:val="baseline"/>
              <w:rPr>
                <w:rFonts w:ascii="Calibri" w:eastAsia="Times New Roman" w:hAnsi="Calibri" w:cs="Calibri"/>
                <w:kern w:val="0"/>
                <w:lang w:eastAsia="en-GB"/>
                <w14:ligatures w14:val="none"/>
              </w:rPr>
            </w:pPr>
            <w:r w:rsidRPr="00AB338F">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04C6E6FC" w:rsidR="0098226E" w:rsidRPr="00CF2E7C" w:rsidRDefault="002677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D98150E" w:rsidR="00F10A6E" w:rsidRPr="00CF2E7C" w:rsidRDefault="002677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7FCEC1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6651842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F749ECD" w:rsidR="00F26296" w:rsidRPr="00CF2E7C" w:rsidRDefault="00AB338F" w:rsidP="00CF2E7C">
            <w:pPr>
              <w:textAlignment w:val="baseline"/>
              <w:rPr>
                <w:rFonts w:ascii="Calibri" w:eastAsia="Times New Roman" w:hAnsi="Calibri" w:cs="Calibri"/>
                <w:kern w:val="0"/>
                <w:lang w:eastAsia="en-GB"/>
                <w14:ligatures w14:val="none"/>
              </w:rPr>
            </w:pPr>
            <w:r w:rsidRPr="00AB338F">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9BB39C" w14:textId="26BAF6DB" w:rsidR="00A06FD2" w:rsidRDefault="00AB338F" w:rsidP="00A06FD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noted in the response to Q5.41, the Dear CEO Letter does not contain any detailed recommendations about scenario analysis, it only notes that further progress is required in this area. </w:t>
            </w:r>
          </w:p>
          <w:p w14:paraId="02DA5710" w14:textId="0E7FBF2D" w:rsidR="00A06FD2" w:rsidRPr="00CF2E7C" w:rsidRDefault="00A06FD2" w:rsidP="00A06FD2">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1FE1DDF" w:rsidR="00F26296" w:rsidRPr="00CF2E7C" w:rsidRDefault="00A06F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BA54BF6" w:rsidR="00F26296" w:rsidRPr="00CF2E7C" w:rsidRDefault="00A06F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6D9CF7D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39DDBDFD" w:rsidR="00F26296" w:rsidRPr="00AB338F" w:rsidRDefault="00F26296" w:rsidP="00AB338F">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E91D825"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59C9B8" w14:textId="77777777" w:rsidTr="00AB338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3353CFDB" w14:textId="266512E0"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0C1DC2D6"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6CC8327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2F0BCF"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2F0BCF" w:rsidRPr="00CF2E7C" w:rsidRDefault="002F0BCF" w:rsidP="002F0BC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4306A40B" w:rsidR="002F0BCF" w:rsidRPr="00CF2E7C" w:rsidRDefault="002F0BCF" w:rsidP="002F0BCF">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C2AC206" w:rsidR="00702413" w:rsidRPr="009C4D10" w:rsidRDefault="00AB338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Dear CEO Letter provides some guidance to regulated insurance undertakings about the focus of the PRA for the upcoming year. It is a guide to the PRA’s planned work, but does not itself usually contain any policy tools. It is therefore of limited use when considered apart from the policy tools referred to therein.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B22087" w:rsidRPr="009C4D10" w14:paraId="15D7AF64" w14:textId="77777777" w:rsidTr="00B22087">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5C38184" w14:textId="77777777" w:rsidR="00B22087" w:rsidRDefault="00B22087" w:rsidP="00CF2E7C">
            <w:pPr>
              <w:textAlignment w:val="baseline"/>
              <w:rPr>
                <w:rFonts w:eastAsia="Times New Roman" w:cstheme="minorHAnsi"/>
                <w:b/>
                <w:bCs/>
                <w:kern w:val="0"/>
                <w:lang w:val="en-SG" w:eastAsia="en-GB"/>
                <w14:ligatures w14:val="none"/>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84C6551" w14:textId="77777777" w:rsidR="00B22087" w:rsidRPr="009C4D10" w:rsidRDefault="00B22087" w:rsidP="00CF2E7C">
            <w:pPr>
              <w:textAlignment w:val="baseline"/>
              <w:rPr>
                <w:rFonts w:eastAsia="Times New Roman" w:cstheme="minorHAnsi"/>
                <w:kern w:val="0"/>
                <w:lang w:val="en-S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32485369" w14:textId="72174976" w:rsidR="00FE0EA5" w:rsidRPr="009C4D10" w:rsidRDefault="00D438A0" w:rsidP="00CF2E7C">
            <w:pPr>
              <w:rPr>
                <w:rFonts w:cstheme="minorHAnsi"/>
              </w:rPr>
            </w:pPr>
            <w:r>
              <w:rPr>
                <w:rFonts w:cstheme="minorHAnsi"/>
              </w:rPr>
              <w:t xml:space="preserve"> X</w:t>
            </w:r>
          </w:p>
        </w:tc>
      </w:tr>
      <w:tr w:rsidR="00D438A0" w:rsidRPr="009C4D10" w14:paraId="1DA7E5D4"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D438A0" w:rsidRPr="009C4D10" w:rsidRDefault="00D438A0" w:rsidP="00D438A0">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D438A0" w:rsidRPr="009C4D10" w:rsidRDefault="00D438A0" w:rsidP="00D438A0">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469001F5" w14:textId="33ABD034" w:rsidR="00D438A0" w:rsidRPr="009C4D10" w:rsidRDefault="00D438A0" w:rsidP="00D438A0">
            <w:pPr>
              <w:rPr>
                <w:rFonts w:cstheme="minorHAnsi"/>
              </w:rPr>
            </w:pPr>
            <w:r>
              <w:rPr>
                <w:rFonts w:cstheme="minorHAnsi"/>
              </w:rPr>
              <w:t xml:space="preserve"> X</w:t>
            </w:r>
          </w:p>
        </w:tc>
      </w:tr>
      <w:tr w:rsidR="00D438A0" w:rsidRPr="009C4D10" w14:paraId="420471D0"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D438A0" w:rsidRPr="009C4D10" w:rsidRDefault="00D438A0" w:rsidP="00D438A0">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D438A0" w:rsidRPr="009C4D10" w:rsidRDefault="00D438A0" w:rsidP="00D438A0">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28FCEFC" w14:textId="615F1BB4" w:rsidR="00D438A0" w:rsidRPr="009C4D10" w:rsidRDefault="00D438A0" w:rsidP="00D438A0">
            <w:pPr>
              <w:rPr>
                <w:rFonts w:cstheme="minorHAnsi"/>
              </w:rPr>
            </w:pPr>
            <w:r>
              <w:rPr>
                <w:rFonts w:cstheme="minorHAnsi"/>
              </w:rPr>
              <w:t xml:space="preserve"> X</w:t>
            </w:r>
          </w:p>
        </w:tc>
      </w:tr>
      <w:tr w:rsidR="00D438A0" w:rsidRPr="009C4D10" w14:paraId="6804638F"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D438A0" w:rsidRPr="009C4D10" w:rsidRDefault="00D438A0" w:rsidP="00D438A0">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D438A0" w:rsidRPr="009C4D10" w:rsidRDefault="00D438A0" w:rsidP="00D438A0">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020DE7E" w14:textId="18B6A6CE" w:rsidR="00D438A0" w:rsidRPr="009C4D10" w:rsidRDefault="00D438A0" w:rsidP="00D438A0">
            <w:pPr>
              <w:rPr>
                <w:rFonts w:cstheme="minorHAnsi"/>
              </w:rPr>
            </w:pPr>
            <w:r>
              <w:rPr>
                <w:rFonts w:cstheme="minorHAnsi"/>
              </w:rPr>
              <w:t xml:space="preserve"> X</w:t>
            </w:r>
          </w:p>
        </w:tc>
      </w:tr>
      <w:tr w:rsidR="00D438A0" w:rsidRPr="009C4D10" w14:paraId="363F8477"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D438A0" w:rsidRPr="009C4D10" w:rsidRDefault="00D438A0" w:rsidP="00D438A0">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D438A0" w:rsidRPr="009C4D10" w:rsidRDefault="00D438A0" w:rsidP="00D438A0">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4AB340F" w:rsidR="00D438A0" w:rsidRPr="009C4D10" w:rsidRDefault="00D438A0" w:rsidP="00D438A0">
            <w:pPr>
              <w:rPr>
                <w:rFonts w:cstheme="minorHAnsi"/>
              </w:rPr>
            </w:pP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71326AFE" w14:textId="3229DB38" w:rsidR="00D438A0" w:rsidRPr="009C4D10" w:rsidRDefault="00D438A0" w:rsidP="00D438A0">
            <w:pPr>
              <w:rPr>
                <w:rFonts w:cstheme="minorHAnsi"/>
              </w:rPr>
            </w:pPr>
            <w:r>
              <w:rPr>
                <w:rFonts w:cstheme="minorHAnsi"/>
              </w:rPr>
              <w:t xml:space="preserve"> X</w:t>
            </w:r>
          </w:p>
        </w:tc>
      </w:tr>
      <w:tr w:rsidR="00D438A0" w:rsidRPr="009C4D10" w14:paraId="768B832A"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D438A0" w:rsidRPr="009C4D10" w:rsidRDefault="00D438A0" w:rsidP="00D438A0">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D438A0" w:rsidRPr="009C4D10" w:rsidRDefault="00D438A0" w:rsidP="00D438A0">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D438A0" w:rsidRPr="009C4D10" w:rsidRDefault="00D438A0" w:rsidP="00D438A0">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D438A0" w:rsidRPr="009C4D10" w:rsidRDefault="00D438A0" w:rsidP="00D438A0">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C042850" w14:textId="0ACBB788" w:rsidR="00D438A0" w:rsidRPr="009C4D10" w:rsidRDefault="00D438A0" w:rsidP="00D438A0">
            <w:pPr>
              <w:rPr>
                <w:rFonts w:cstheme="minorHAnsi"/>
              </w:rPr>
            </w:pPr>
            <w:r>
              <w:rPr>
                <w:rFonts w:cstheme="minorHAnsi"/>
              </w:rPr>
              <w:t xml:space="preserve"> X</w:t>
            </w:r>
          </w:p>
        </w:tc>
      </w:tr>
      <w:tr w:rsidR="00D438A0" w:rsidRPr="009C4D10" w14:paraId="60D061D6" w14:textId="77777777" w:rsidTr="00D438A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D438A0" w:rsidRPr="009C4D10" w:rsidRDefault="00D438A0" w:rsidP="00D438A0">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D438A0" w:rsidRPr="009C4D10" w:rsidRDefault="00D438A0" w:rsidP="00D438A0">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D438A0" w:rsidRPr="009C4D10" w:rsidRDefault="00D438A0" w:rsidP="00D438A0">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095A1B27" w14:textId="444C9B1F" w:rsidR="00D438A0" w:rsidRPr="009C4D10" w:rsidRDefault="00D438A0" w:rsidP="00D438A0">
            <w:pPr>
              <w:rPr>
                <w:rFonts w:cstheme="minorHAnsi"/>
              </w:rPr>
            </w:pPr>
            <w:r>
              <w:rPr>
                <w:rFonts w:cstheme="minorHAnsi"/>
              </w:rPr>
              <w:t xml:space="preserve"> 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F94612C" w14:textId="77777777" w:rsidR="00493D64" w:rsidRDefault="00493D64" w:rsidP="00493D64">
            <w:pPr>
              <w:rPr>
                <w:rFonts w:ascii="Calibri" w:hAnsi="Calibri" w:cs="Calibri"/>
              </w:rPr>
            </w:pPr>
            <w:r w:rsidRPr="00590357">
              <w:rPr>
                <w:rFonts w:ascii="Calibri" w:hAnsi="Calibri" w:cs="Calibri"/>
              </w:rPr>
              <w:t>SS3/19</w:t>
            </w:r>
          </w:p>
          <w:p w14:paraId="7A60D183" w14:textId="77777777" w:rsidR="00493D64" w:rsidRDefault="00493D64" w:rsidP="00493D64">
            <w:pPr>
              <w:rPr>
                <w:rFonts w:ascii="Calibri" w:hAnsi="Calibri" w:cs="Calibri"/>
              </w:rPr>
            </w:pPr>
            <w:r w:rsidRPr="00590357">
              <w:rPr>
                <w:rFonts w:ascii="Calibri" w:hAnsi="Calibri" w:cs="Calibri"/>
              </w:rPr>
              <w:t>https://web.archive.org/web/20250628223023/https://www.bankofengland.co.uk/prudential-regulation/publication/2019/enhancing-banks-and-insurers-approaches-to-managing-the-financial-risks-from-climate-change-ss</w:t>
            </w:r>
          </w:p>
          <w:p w14:paraId="6F528A98" w14:textId="77777777" w:rsidR="00493D64" w:rsidRDefault="00493D64" w:rsidP="00493D64">
            <w:pPr>
              <w:rPr>
                <w:rFonts w:ascii="Calibri" w:hAnsi="Calibri" w:cs="Calibri"/>
              </w:rPr>
            </w:pPr>
            <w:r w:rsidRPr="00590357">
              <w:rPr>
                <w:rFonts w:ascii="Calibri" w:hAnsi="Calibri" w:cs="Calibri"/>
              </w:rPr>
              <w:t>LIST 2025</w:t>
            </w:r>
            <w:r>
              <w:rPr>
                <w:rFonts w:ascii="Calibri" w:hAnsi="Calibri" w:cs="Calibri"/>
              </w:rPr>
              <w:t xml:space="preserve"> exercise</w:t>
            </w:r>
          </w:p>
          <w:p w14:paraId="4C9BDABC" w14:textId="77777777" w:rsidR="00493D64" w:rsidRDefault="00493D64" w:rsidP="00493D64">
            <w:pPr>
              <w:rPr>
                <w:rFonts w:ascii="Calibri" w:hAnsi="Calibri" w:cs="Calibri"/>
              </w:rPr>
            </w:pPr>
            <w:r w:rsidRPr="00590357">
              <w:rPr>
                <w:rFonts w:ascii="Calibri" w:hAnsi="Calibri" w:cs="Calibri"/>
              </w:rPr>
              <w:t>https://web.archive.org/web/20250701094138/https://www.bankofengland.co.uk/prudential-regulation/publication/2024/july/list-2025</w:t>
            </w:r>
          </w:p>
          <w:p w14:paraId="12233F55" w14:textId="77777777" w:rsidR="00493D64" w:rsidRDefault="00493D64" w:rsidP="00493D64">
            <w:pPr>
              <w:rPr>
                <w:rFonts w:ascii="Calibri" w:hAnsi="Calibri" w:cs="Calibri"/>
              </w:rPr>
            </w:pPr>
            <w:r w:rsidRPr="00590357">
              <w:rPr>
                <w:rFonts w:ascii="Calibri" w:hAnsi="Calibri" w:cs="Calibri"/>
              </w:rPr>
              <w:t>CP19/24</w:t>
            </w:r>
          </w:p>
          <w:p w14:paraId="3F082051" w14:textId="04FB6118" w:rsidR="006F1191" w:rsidRDefault="00D438A0" w:rsidP="00493D64">
            <w:pPr>
              <w:rPr>
                <w:rFonts w:ascii="Calibri" w:hAnsi="Calibri" w:cs="Calibri"/>
              </w:rPr>
            </w:pPr>
            <w:hyperlink r:id="rId23" w:history="1">
              <w:r w:rsidR="006F1191" w:rsidRPr="004A30E8">
                <w:rPr>
                  <w:rStyle w:val="Hyperlink"/>
                  <w:rFonts w:ascii="Calibri" w:hAnsi="Calibri" w:cs="Calibri"/>
                </w:rPr>
                <w:t>https://web.archive.org/web/20250628173745/https://www.bankofengland.co.uk/prudential-regulation/publication/2024/december/closing-liquidity-reporting-gaps-consultation-paper</w:t>
              </w:r>
            </w:hyperlink>
          </w:p>
          <w:p w14:paraId="7F722CDB" w14:textId="4B2E01CE" w:rsidR="00493D64" w:rsidRDefault="00493D64" w:rsidP="00493D64">
            <w:pPr>
              <w:rPr>
                <w:rFonts w:ascii="Calibri" w:hAnsi="Calibri" w:cs="Calibri"/>
              </w:rPr>
            </w:pPr>
            <w:r w:rsidRPr="00590357">
              <w:rPr>
                <w:rFonts w:ascii="Calibri" w:hAnsi="Calibri" w:cs="Calibri"/>
              </w:rPr>
              <w:t>PS20/24</w:t>
            </w:r>
          </w:p>
          <w:p w14:paraId="7478C0BE" w14:textId="5A2FBFD3" w:rsidR="00C01AF9" w:rsidRPr="009C4D10" w:rsidRDefault="00493D64" w:rsidP="00493D64">
            <w:pPr>
              <w:rPr>
                <w:rFonts w:cstheme="minorHAnsi"/>
              </w:rPr>
            </w:pPr>
            <w:r w:rsidRPr="00590357">
              <w:rPr>
                <w:rFonts w:ascii="Calibri" w:hAnsi="Calibri" w:cs="Calibri"/>
              </w:rPr>
              <w:t>https://web.archive.org/web/20250702033556/https://www.bankofengland.co.uk/prudential-regulation/publication/2024/december/solvent-exit-planning-for-insurers-policy-statement</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A1DC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354C6" w:rsidRDefault="002F0752" w:rsidP="00CF2E7C">
            <w:pPr>
              <w:rPr>
                <w:rFonts w:ascii="Calibri" w:hAnsi="Calibri" w:cs="Calibri"/>
                <w:lang w:val="fr-FR"/>
              </w:rPr>
            </w:pPr>
            <w:r w:rsidRPr="004354C6">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354C6"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B583A" w14:textId="77777777" w:rsidR="007A4CA7" w:rsidRDefault="007A4CA7" w:rsidP="00874E39">
      <w:r>
        <w:separator/>
      </w:r>
    </w:p>
  </w:endnote>
  <w:endnote w:type="continuationSeparator" w:id="0">
    <w:p w14:paraId="725FD604" w14:textId="77777777" w:rsidR="007A4CA7" w:rsidRDefault="007A4CA7" w:rsidP="00874E39">
      <w:r>
        <w:continuationSeparator/>
      </w:r>
    </w:p>
  </w:endnote>
  <w:endnote w:type="continuationNotice" w:id="1">
    <w:p w14:paraId="2C7F7467" w14:textId="77777777" w:rsidR="007A4CA7" w:rsidRDefault="007A4C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0ED70EAA" w:rsidR="00874E39" w:rsidRDefault="00874E39" w:rsidP="00A86D0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104E9A6F"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2818BA6"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97FC9" w14:textId="77777777" w:rsidR="007A4CA7" w:rsidRDefault="007A4CA7" w:rsidP="00874E39">
      <w:r>
        <w:separator/>
      </w:r>
    </w:p>
  </w:footnote>
  <w:footnote w:type="continuationSeparator" w:id="0">
    <w:p w14:paraId="1257EFAC" w14:textId="77777777" w:rsidR="007A4CA7" w:rsidRDefault="007A4CA7" w:rsidP="00874E39">
      <w:r>
        <w:continuationSeparator/>
      </w:r>
    </w:p>
  </w:footnote>
  <w:footnote w:type="continuationNotice" w:id="1">
    <w:p w14:paraId="54EF44E3" w14:textId="77777777" w:rsidR="007A4CA7" w:rsidRDefault="007A4C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9840A" w14:textId="77777777" w:rsidR="008B54E4" w:rsidRDefault="008B54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BDBF6" w14:textId="77777777" w:rsidR="008B54E4" w:rsidRDefault="008B54E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7CE26AF"/>
    <w:multiLevelType w:val="hybridMultilevel"/>
    <w:tmpl w:val="FFA05A90"/>
    <w:lvl w:ilvl="0" w:tplc="D7A6ABBC">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811047856">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ED8"/>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D72"/>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CB8"/>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F9A"/>
    <w:rsid w:val="000B15C7"/>
    <w:rsid w:val="000B1BF7"/>
    <w:rsid w:val="000B1E68"/>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1B5"/>
    <w:rsid w:val="000E310E"/>
    <w:rsid w:val="000E3B90"/>
    <w:rsid w:val="000E3D35"/>
    <w:rsid w:val="000E6110"/>
    <w:rsid w:val="000E6A6A"/>
    <w:rsid w:val="000E7A8A"/>
    <w:rsid w:val="000F4459"/>
    <w:rsid w:val="000F5E92"/>
    <w:rsid w:val="000F690C"/>
    <w:rsid w:val="000F6A41"/>
    <w:rsid w:val="000F6E3B"/>
    <w:rsid w:val="00100902"/>
    <w:rsid w:val="00101305"/>
    <w:rsid w:val="001014D9"/>
    <w:rsid w:val="001021EC"/>
    <w:rsid w:val="00104BA2"/>
    <w:rsid w:val="00104EB1"/>
    <w:rsid w:val="00105889"/>
    <w:rsid w:val="00105C84"/>
    <w:rsid w:val="00105F75"/>
    <w:rsid w:val="00106F13"/>
    <w:rsid w:val="001076B0"/>
    <w:rsid w:val="001078E1"/>
    <w:rsid w:val="00107CE2"/>
    <w:rsid w:val="00107D91"/>
    <w:rsid w:val="0011087C"/>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308"/>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764"/>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6A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0BCF"/>
    <w:rsid w:val="002F1247"/>
    <w:rsid w:val="002F1ABB"/>
    <w:rsid w:val="002F359D"/>
    <w:rsid w:val="002F3FDE"/>
    <w:rsid w:val="002F435A"/>
    <w:rsid w:val="002F4EC2"/>
    <w:rsid w:val="002F51F3"/>
    <w:rsid w:val="002F5320"/>
    <w:rsid w:val="002F5D09"/>
    <w:rsid w:val="002F6AC1"/>
    <w:rsid w:val="00300C2F"/>
    <w:rsid w:val="00300DAD"/>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196"/>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62A"/>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2E5"/>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D9D"/>
    <w:rsid w:val="00410170"/>
    <w:rsid w:val="00410853"/>
    <w:rsid w:val="00410FCF"/>
    <w:rsid w:val="0041314E"/>
    <w:rsid w:val="00413B91"/>
    <w:rsid w:val="0041424B"/>
    <w:rsid w:val="00414CFC"/>
    <w:rsid w:val="0041564F"/>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0B2"/>
    <w:rsid w:val="00434724"/>
    <w:rsid w:val="00434B6A"/>
    <w:rsid w:val="004354C6"/>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64"/>
    <w:rsid w:val="00493E0A"/>
    <w:rsid w:val="00494A74"/>
    <w:rsid w:val="00494B67"/>
    <w:rsid w:val="00496413"/>
    <w:rsid w:val="004A06B9"/>
    <w:rsid w:val="004A14A0"/>
    <w:rsid w:val="004A1B2A"/>
    <w:rsid w:val="004A1C8C"/>
    <w:rsid w:val="004A2174"/>
    <w:rsid w:val="004A2BC7"/>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C55"/>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930"/>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C2C"/>
    <w:rsid w:val="00584EE1"/>
    <w:rsid w:val="00586A0A"/>
    <w:rsid w:val="005870D5"/>
    <w:rsid w:val="00587FAE"/>
    <w:rsid w:val="005900AD"/>
    <w:rsid w:val="00590357"/>
    <w:rsid w:val="005923CF"/>
    <w:rsid w:val="00592CDE"/>
    <w:rsid w:val="0059359A"/>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9E5"/>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43A8"/>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5FC"/>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809"/>
    <w:rsid w:val="0066041A"/>
    <w:rsid w:val="006621B6"/>
    <w:rsid w:val="00662657"/>
    <w:rsid w:val="006636CE"/>
    <w:rsid w:val="00663D94"/>
    <w:rsid w:val="00664677"/>
    <w:rsid w:val="00664D6C"/>
    <w:rsid w:val="006663CD"/>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1FB"/>
    <w:rsid w:val="006A00E0"/>
    <w:rsid w:val="006A103A"/>
    <w:rsid w:val="006A1DC8"/>
    <w:rsid w:val="006A2168"/>
    <w:rsid w:val="006A21C6"/>
    <w:rsid w:val="006A308E"/>
    <w:rsid w:val="006A3518"/>
    <w:rsid w:val="006A4C24"/>
    <w:rsid w:val="006A4C9F"/>
    <w:rsid w:val="006A63B5"/>
    <w:rsid w:val="006B07E5"/>
    <w:rsid w:val="006B0C0B"/>
    <w:rsid w:val="006B2C46"/>
    <w:rsid w:val="006B4FC8"/>
    <w:rsid w:val="006B6168"/>
    <w:rsid w:val="006B61C2"/>
    <w:rsid w:val="006B66EA"/>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343"/>
    <w:rsid w:val="006F0E83"/>
    <w:rsid w:val="006F1191"/>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357"/>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862"/>
    <w:rsid w:val="007A4CA7"/>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8A2"/>
    <w:rsid w:val="008B0F60"/>
    <w:rsid w:val="008B0F8A"/>
    <w:rsid w:val="008B2418"/>
    <w:rsid w:val="008B4536"/>
    <w:rsid w:val="008B54E4"/>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6AEA"/>
    <w:rsid w:val="008E760C"/>
    <w:rsid w:val="008F27A6"/>
    <w:rsid w:val="008F31B3"/>
    <w:rsid w:val="008F32F0"/>
    <w:rsid w:val="008F520A"/>
    <w:rsid w:val="008F6A4E"/>
    <w:rsid w:val="008F6A58"/>
    <w:rsid w:val="008F6F09"/>
    <w:rsid w:val="00900BE0"/>
    <w:rsid w:val="0090170E"/>
    <w:rsid w:val="00901BF4"/>
    <w:rsid w:val="00901C62"/>
    <w:rsid w:val="00902595"/>
    <w:rsid w:val="0090264D"/>
    <w:rsid w:val="009033F1"/>
    <w:rsid w:val="00903BD2"/>
    <w:rsid w:val="00905C1A"/>
    <w:rsid w:val="009068CD"/>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0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267"/>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43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87D"/>
    <w:rsid w:val="009F3542"/>
    <w:rsid w:val="009F56B4"/>
    <w:rsid w:val="009F5822"/>
    <w:rsid w:val="009F676A"/>
    <w:rsid w:val="009F70E3"/>
    <w:rsid w:val="009F7316"/>
    <w:rsid w:val="00A02AF3"/>
    <w:rsid w:val="00A035AB"/>
    <w:rsid w:val="00A04C9D"/>
    <w:rsid w:val="00A04DB8"/>
    <w:rsid w:val="00A050A2"/>
    <w:rsid w:val="00A05CFC"/>
    <w:rsid w:val="00A064CE"/>
    <w:rsid w:val="00A06FD2"/>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B7"/>
    <w:rsid w:val="00A323BB"/>
    <w:rsid w:val="00A33284"/>
    <w:rsid w:val="00A34E4A"/>
    <w:rsid w:val="00A36AA7"/>
    <w:rsid w:val="00A40404"/>
    <w:rsid w:val="00A42235"/>
    <w:rsid w:val="00A42858"/>
    <w:rsid w:val="00A43199"/>
    <w:rsid w:val="00A43AFC"/>
    <w:rsid w:val="00A445CD"/>
    <w:rsid w:val="00A45776"/>
    <w:rsid w:val="00A46507"/>
    <w:rsid w:val="00A46BEA"/>
    <w:rsid w:val="00A47557"/>
    <w:rsid w:val="00A47C6E"/>
    <w:rsid w:val="00A501D9"/>
    <w:rsid w:val="00A503F1"/>
    <w:rsid w:val="00A53328"/>
    <w:rsid w:val="00A5358D"/>
    <w:rsid w:val="00A53874"/>
    <w:rsid w:val="00A55B96"/>
    <w:rsid w:val="00A56BE5"/>
    <w:rsid w:val="00A56DE0"/>
    <w:rsid w:val="00A576A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08"/>
    <w:rsid w:val="00A86DFE"/>
    <w:rsid w:val="00A870CA"/>
    <w:rsid w:val="00A87442"/>
    <w:rsid w:val="00A90D91"/>
    <w:rsid w:val="00A93112"/>
    <w:rsid w:val="00A932DE"/>
    <w:rsid w:val="00A9656E"/>
    <w:rsid w:val="00A97DA6"/>
    <w:rsid w:val="00AA186B"/>
    <w:rsid w:val="00AA38F6"/>
    <w:rsid w:val="00AA4965"/>
    <w:rsid w:val="00AA6DDB"/>
    <w:rsid w:val="00AB0830"/>
    <w:rsid w:val="00AB2CCC"/>
    <w:rsid w:val="00AB338F"/>
    <w:rsid w:val="00AB4F2C"/>
    <w:rsid w:val="00AB64F8"/>
    <w:rsid w:val="00AC2E5C"/>
    <w:rsid w:val="00AC6ECF"/>
    <w:rsid w:val="00AC7B6B"/>
    <w:rsid w:val="00AD1216"/>
    <w:rsid w:val="00AD1BC7"/>
    <w:rsid w:val="00AD4477"/>
    <w:rsid w:val="00AD4F51"/>
    <w:rsid w:val="00AD5285"/>
    <w:rsid w:val="00AD54D3"/>
    <w:rsid w:val="00AD5AFA"/>
    <w:rsid w:val="00AD70E0"/>
    <w:rsid w:val="00AE0028"/>
    <w:rsid w:val="00AE00FE"/>
    <w:rsid w:val="00AE0451"/>
    <w:rsid w:val="00AE0803"/>
    <w:rsid w:val="00AE0ADB"/>
    <w:rsid w:val="00AE2662"/>
    <w:rsid w:val="00AE3CBD"/>
    <w:rsid w:val="00AE5D21"/>
    <w:rsid w:val="00AE7C5F"/>
    <w:rsid w:val="00AF08A8"/>
    <w:rsid w:val="00AF2019"/>
    <w:rsid w:val="00AF24B4"/>
    <w:rsid w:val="00AF26B7"/>
    <w:rsid w:val="00AF30FD"/>
    <w:rsid w:val="00AF3FC6"/>
    <w:rsid w:val="00AF4B5F"/>
    <w:rsid w:val="00AF5B6E"/>
    <w:rsid w:val="00AF6128"/>
    <w:rsid w:val="00AF79AE"/>
    <w:rsid w:val="00B006E5"/>
    <w:rsid w:val="00B00CFD"/>
    <w:rsid w:val="00B00FA9"/>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087"/>
    <w:rsid w:val="00B22535"/>
    <w:rsid w:val="00B23761"/>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3A63"/>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3BB"/>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661"/>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18A"/>
    <w:rsid w:val="00BF5C7E"/>
    <w:rsid w:val="00BF5CAB"/>
    <w:rsid w:val="00BF6293"/>
    <w:rsid w:val="00BF6E4C"/>
    <w:rsid w:val="00BF71E9"/>
    <w:rsid w:val="00BF71F1"/>
    <w:rsid w:val="00BF76DF"/>
    <w:rsid w:val="00BF7CB5"/>
    <w:rsid w:val="00C01031"/>
    <w:rsid w:val="00C01384"/>
    <w:rsid w:val="00C01AF9"/>
    <w:rsid w:val="00C0274C"/>
    <w:rsid w:val="00C02F33"/>
    <w:rsid w:val="00C0652F"/>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81B"/>
    <w:rsid w:val="00CD2EA0"/>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BF0"/>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6FD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8A0"/>
    <w:rsid w:val="00D442ED"/>
    <w:rsid w:val="00D44C0E"/>
    <w:rsid w:val="00D46116"/>
    <w:rsid w:val="00D46297"/>
    <w:rsid w:val="00D4693D"/>
    <w:rsid w:val="00D46B07"/>
    <w:rsid w:val="00D47404"/>
    <w:rsid w:val="00D510DA"/>
    <w:rsid w:val="00D52EC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0DE1"/>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1B27"/>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5BB1"/>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014"/>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26"/>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4D8"/>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E1B"/>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684818">
      <w:bodyDiv w:val="1"/>
      <w:marLeft w:val="0"/>
      <w:marRight w:val="0"/>
      <w:marTop w:val="0"/>
      <w:marBottom w:val="0"/>
      <w:divBdr>
        <w:top w:val="none" w:sz="0" w:space="0" w:color="auto"/>
        <w:left w:val="none" w:sz="0" w:space="0" w:color="auto"/>
        <w:bottom w:val="none" w:sz="0" w:space="0" w:color="auto"/>
        <w:right w:val="none" w:sz="0" w:space="0" w:color="auto"/>
      </w:divBdr>
      <w:divsChild>
        <w:div w:id="116623855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1050030">
      <w:bodyDiv w:val="1"/>
      <w:marLeft w:val="0"/>
      <w:marRight w:val="0"/>
      <w:marTop w:val="0"/>
      <w:marBottom w:val="0"/>
      <w:divBdr>
        <w:top w:val="none" w:sz="0" w:space="0" w:color="auto"/>
        <w:left w:val="none" w:sz="0" w:space="0" w:color="auto"/>
        <w:bottom w:val="none" w:sz="0" w:space="0" w:color="auto"/>
        <w:right w:val="none" w:sz="0" w:space="0" w:color="auto"/>
      </w:divBdr>
      <w:divsChild>
        <w:div w:id="604117135">
          <w:marLeft w:val="0"/>
          <w:marRight w:val="0"/>
          <w:marTop w:val="0"/>
          <w:marBottom w:val="0"/>
          <w:divBdr>
            <w:top w:val="none" w:sz="0" w:space="0" w:color="auto"/>
            <w:left w:val="none" w:sz="0" w:space="0" w:color="auto"/>
            <w:bottom w:val="none" w:sz="0" w:space="0" w:color="auto"/>
            <w:right w:val="none" w:sz="0" w:space="0" w:color="auto"/>
          </w:divBdr>
          <w:divsChild>
            <w:div w:id="526143905">
              <w:marLeft w:val="0"/>
              <w:marRight w:val="0"/>
              <w:marTop w:val="0"/>
              <w:marBottom w:val="0"/>
              <w:divBdr>
                <w:top w:val="none" w:sz="0" w:space="0" w:color="auto"/>
                <w:left w:val="none" w:sz="0" w:space="0" w:color="auto"/>
                <w:bottom w:val="none" w:sz="0" w:space="0" w:color="auto"/>
                <w:right w:val="none" w:sz="0" w:space="0" w:color="auto"/>
              </w:divBdr>
              <w:divsChild>
                <w:div w:id="1579637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453506">
      <w:bodyDiv w:val="1"/>
      <w:marLeft w:val="0"/>
      <w:marRight w:val="0"/>
      <w:marTop w:val="0"/>
      <w:marBottom w:val="0"/>
      <w:divBdr>
        <w:top w:val="none" w:sz="0" w:space="0" w:color="auto"/>
        <w:left w:val="none" w:sz="0" w:space="0" w:color="auto"/>
        <w:bottom w:val="none" w:sz="0" w:space="0" w:color="auto"/>
        <w:right w:val="none" w:sz="0" w:space="0" w:color="auto"/>
      </w:divBdr>
      <w:divsChild>
        <w:div w:id="1407607007">
          <w:marLeft w:val="0"/>
          <w:marRight w:val="0"/>
          <w:marTop w:val="0"/>
          <w:marBottom w:val="0"/>
          <w:divBdr>
            <w:top w:val="none" w:sz="0" w:space="0" w:color="auto"/>
            <w:left w:val="none" w:sz="0" w:space="0" w:color="auto"/>
            <w:bottom w:val="none" w:sz="0" w:space="0" w:color="auto"/>
            <w:right w:val="none" w:sz="0" w:space="0" w:color="auto"/>
          </w:divBdr>
        </w:div>
      </w:divsChild>
    </w:div>
    <w:div w:id="1798647924">
      <w:bodyDiv w:val="1"/>
      <w:marLeft w:val="0"/>
      <w:marRight w:val="0"/>
      <w:marTop w:val="0"/>
      <w:marBottom w:val="0"/>
      <w:divBdr>
        <w:top w:val="none" w:sz="0" w:space="0" w:color="auto"/>
        <w:left w:val="none" w:sz="0" w:space="0" w:color="auto"/>
        <w:bottom w:val="none" w:sz="0" w:space="0" w:color="auto"/>
        <w:right w:val="none" w:sz="0" w:space="0" w:color="auto"/>
      </w:divBdr>
      <w:divsChild>
        <w:div w:id="1593585837">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3142641/https:/www.bankofengland.co.uk/-/media/boe/files/prudential-regulation/supervisory-statement/2024/ss319-november-2024-update.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8173745/https://www.bankofengland.co.uk/prudential-regulation/publication/2024/december/closing-liquidity-reporting-gaps-consultation-paper" TargetMode="External"/><Relationship Id="rId10" Type="http://schemas.openxmlformats.org/officeDocument/2006/relationships/endnotes" Target="endnotes.xml"/><Relationship Id="rId19" Type="http://schemas.openxmlformats.org/officeDocument/2006/relationships/hyperlink" Target="https://web.archive.org/web/20250703001416/https:/www.bankofengland.co.uk/-/media/boe/files/prudential-regulation/letter/2025/insurance-supervision-2025-priorities.pdf%2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112</Pages>
  <Words>22531</Words>
  <Characters>128432</Characters>
  <Application>Microsoft Office Word</Application>
  <DocSecurity>0</DocSecurity>
  <Lines>1070</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Neha Harish</cp:lastModifiedBy>
  <cp:revision>5</cp:revision>
  <cp:lastPrinted>2025-03-21T00:14:00Z</cp:lastPrinted>
  <dcterms:created xsi:type="dcterms:W3CDTF">2025-07-22T19:02:00Z</dcterms:created>
  <dcterms:modified xsi:type="dcterms:W3CDTF">2025-07-22T19:06:00Z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